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bidi/>
        <w:spacing w:line="360" w:lineRule="auto"/>
        <w:jc w:val="both"/>
      </w:pPr>
      <w:r>
        <w:rPr>
          <w:rFonts w:cs="DejaVu Sans"/>
          <w:b/>
          <w:bCs/>
          <w:shd w:fill="auto" w:val="clear"/>
          <w:rtl w:val="true"/>
        </w:rPr>
      </w:r>
    </w:p>
    <w:p>
      <w:pPr>
        <w:pStyle w:val="style0"/>
        <w:bidi/>
        <w:spacing w:line="360" w:lineRule="auto"/>
        <w:jc w:val="both"/>
      </w:pPr>
      <w:r>
        <w:rPr>
          <w:rFonts w:cs="DejaVu Sans"/>
          <w:b/>
          <w:b/>
          <w:bCs/>
          <w:sz w:val="28"/>
          <w:sz w:val="28"/>
          <w:szCs w:val="28"/>
          <w:shd w:fill="auto" w:val="clear"/>
          <w:rtl w:val="true"/>
        </w:rPr>
        <w:t>جای آن‌ است که خود موج زند در دل لعل؟</w:t>
      </w:r>
    </w:p>
    <w:p>
      <w:pPr>
        <w:pStyle w:val="style0"/>
        <w:bidi/>
        <w:spacing w:line="360" w:lineRule="auto"/>
        <w:jc w:val="both"/>
      </w:pPr>
      <w:r>
        <w:rPr>
          <w:rFonts w:cs="DejaVu Sans"/>
          <w:b w:val="false"/>
          <w:b w:val="false"/>
          <w:bCs w:val="false"/>
          <w:shd w:fill="auto" w:val="clear"/>
          <w:rtl w:val="true"/>
        </w:rPr>
        <w:t xml:space="preserve">در حواشی مرگ مریم میرزاخانی </w:t>
      </w:r>
    </w:p>
    <w:p>
      <w:pPr>
        <w:pStyle w:val="style0"/>
        <w:bidi/>
        <w:spacing w:line="360" w:lineRule="auto"/>
        <w:jc w:val="both"/>
      </w:pPr>
      <w:r>
        <w:rPr>
          <w:rFonts w:cs="DejaVu Sans"/>
          <w:shd w:fill="auto" w:val="clear"/>
          <w:rtl w:val="true"/>
        </w:rPr>
      </w:r>
    </w:p>
    <w:p>
      <w:pPr>
        <w:pStyle w:val="style0"/>
        <w:bidi/>
        <w:spacing w:line="360" w:lineRule="auto"/>
        <w:jc w:val="both"/>
      </w:pPr>
      <w:r>
        <w:rPr>
          <w:rFonts w:cs="DejaVu Sans"/>
          <w:shd w:fill="auto" w:val="clear"/>
          <w:rtl w:val="true"/>
        </w:rPr>
        <w:t>خبر ساده است و درست در همین سادگی‌ و بی‌حاشیه بودن‌اش است که می‌خراشد</w:t>
      </w:r>
      <w:r>
        <w:rPr>
          <w:rFonts w:cs="DejaVu Sans"/>
          <w:shd w:fill="auto" w:val="clear"/>
          <w:rtl w:val="true"/>
        </w:rPr>
        <w:t xml:space="preserve">. </w:t>
      </w:r>
      <w:r>
        <w:rPr>
          <w:rFonts w:cs="DejaVu Sans"/>
          <w:shd w:fill="auto" w:val="clear"/>
          <w:rtl w:val="true"/>
        </w:rPr>
        <w:t>مریم میرزاخانی مرد</w:t>
      </w:r>
      <w:r>
        <w:rPr>
          <w:rFonts w:cs="DejaVu Sans"/>
          <w:shd w:fill="auto" w:val="clear"/>
          <w:rtl w:val="true"/>
        </w:rPr>
        <w:t xml:space="preserve">! </w:t>
      </w:r>
      <w:r>
        <w:rPr>
          <w:rFonts w:cs="DejaVu Sans"/>
          <w:shd w:fill="auto" w:val="clear"/>
          <w:rtl w:val="true"/>
        </w:rPr>
        <w:t>آرام و بی‌سروصدا</w:t>
      </w:r>
      <w:r>
        <w:rPr>
          <w:rFonts w:cs="DejaVu Sans"/>
          <w:shd w:fill="auto" w:val="clear"/>
          <w:rtl w:val="true"/>
        </w:rPr>
        <w:t xml:space="preserve">. </w:t>
      </w:r>
      <w:r>
        <w:rPr>
          <w:rFonts w:cs="DejaVu Sans"/>
          <w:shd w:fill="auto" w:val="clear"/>
          <w:rtl w:val="true"/>
        </w:rPr>
        <w:t>برادرهایش تن به مصاحبه نداده‌اند، چرا که خواهرشان به کنکاش در زندگی شخصی‌اش علاقه‌ای نداشته</w:t>
      </w:r>
      <w:r>
        <w:rPr>
          <w:rFonts w:cs="DejaVu Sans"/>
          <w:shd w:fill="auto" w:val="clear"/>
          <w:rtl w:val="true"/>
        </w:rPr>
        <w:t xml:space="preserve">. </w:t>
      </w:r>
      <w:r>
        <w:rPr>
          <w:rFonts w:cs="DejaVu Sans"/>
          <w:shd w:fill="auto" w:val="clear"/>
          <w:rtl w:val="true"/>
        </w:rPr>
        <w:t>خودش هم در سال‌های زندگانی‌اش نشو و نمای بیرونی‌ زن درخشانی که بود، را نداشت</w:t>
      </w:r>
      <w:r>
        <w:rPr>
          <w:rFonts w:cs="DejaVu Sans"/>
          <w:shd w:fill="auto" w:val="clear"/>
          <w:rtl w:val="true"/>
        </w:rPr>
        <w:t xml:space="preserve">. </w:t>
      </w:r>
      <w:r>
        <w:rPr>
          <w:rFonts w:cs="DejaVu Sans"/>
          <w:shd w:fill="auto" w:val="clear"/>
          <w:rtl w:val="true"/>
        </w:rPr>
        <w:t>درخششی اگر بود، به برکت جایزه‌ها و قدردانی‌های بیرونی بود که او را به سخن گفتنی جسته‌گریخته از خودش وا می‌داشتند</w:t>
      </w:r>
      <w:r>
        <w:rPr>
          <w:rFonts w:cs="DejaVu Sans"/>
          <w:shd w:fill="auto" w:val="clear"/>
          <w:rtl w:val="true"/>
        </w:rPr>
        <w:t xml:space="preserve">. </w:t>
      </w:r>
      <w:r>
        <w:rPr>
          <w:rFonts w:cs="DejaVu Sans"/>
          <w:shd w:fill="auto" w:val="clear"/>
          <w:rtl w:val="true"/>
        </w:rPr>
        <w:t>وگرنه یک ریاضی‌دان برجسته بود و هرچه را که بود، داشت کم‌هیاهو زندگی می‌کرد</w:t>
      </w:r>
      <w:r>
        <w:rPr>
          <w:rFonts w:cs="DejaVu Sans"/>
          <w:shd w:fill="auto" w:val="clear"/>
          <w:rtl w:val="true"/>
        </w:rPr>
        <w:t xml:space="preserve">. </w:t>
      </w:r>
      <w:r>
        <w:rPr>
          <w:rFonts w:cs="DejaVu Sans"/>
          <w:shd w:fill="auto" w:val="clear"/>
          <w:rtl w:val="true"/>
        </w:rPr>
        <w:t>سوگواری‌های ما اما همیشه از خود واقعه فراتر می‌رود</w:t>
      </w:r>
      <w:r>
        <w:rPr>
          <w:rFonts w:cs="DejaVu Sans"/>
          <w:shd w:fill="auto" w:val="clear"/>
          <w:rtl w:val="true"/>
        </w:rPr>
        <w:t xml:space="preserve">. </w:t>
      </w:r>
      <w:r>
        <w:rPr>
          <w:rFonts w:cs="DejaVu Sans"/>
          <w:shd w:fill="auto" w:val="clear"/>
          <w:rtl w:val="true"/>
        </w:rPr>
        <w:t>چه، همواره از درزها و شکاف‌های رویدادهای این‌چنینی، رنج‌های تاریخی ما دیوار می‌شوند برابر چشمان‌مان</w:t>
      </w:r>
      <w:r>
        <w:rPr>
          <w:rFonts w:cs="DejaVu Sans"/>
          <w:shd w:fill="auto" w:val="clear"/>
          <w:rtl w:val="true"/>
        </w:rPr>
        <w:t xml:space="preserve">. </w:t>
      </w:r>
      <w:r>
        <w:rPr>
          <w:rFonts w:cs="DejaVu Sans"/>
          <w:shd w:fill="auto" w:val="clear"/>
          <w:rtl w:val="true"/>
        </w:rPr>
        <w:t xml:space="preserve">ما </w:t>
      </w:r>
      <w:r>
        <w:rPr>
          <w:rFonts w:cs="DejaVu Sans"/>
          <w:shd w:fill="auto" w:val="clear"/>
          <w:rtl w:val="true"/>
        </w:rPr>
        <w:t xml:space="preserve">- </w:t>
      </w:r>
      <w:r>
        <w:rPr>
          <w:rFonts w:cs="DejaVu Sans"/>
          <w:shd w:fill="auto" w:val="clear"/>
          <w:rtl w:val="true"/>
        </w:rPr>
        <w:t xml:space="preserve">این بار سنگین‌تر </w:t>
      </w:r>
      <w:r>
        <w:rPr>
          <w:rFonts w:cs="DejaVu Sans"/>
          <w:shd w:fill="auto" w:val="clear"/>
          <w:rtl w:val="true"/>
        </w:rPr>
        <w:t>«</w:t>
      </w:r>
      <w:r>
        <w:rPr>
          <w:rFonts w:cs="DejaVu Sans"/>
          <w:shd w:fill="auto" w:val="clear"/>
          <w:rtl w:val="true"/>
        </w:rPr>
        <w:t>ما زنان</w:t>
      </w:r>
      <w:r>
        <w:rPr>
          <w:rFonts w:cs="DejaVu Sans"/>
          <w:shd w:fill="auto" w:val="clear"/>
          <w:rtl w:val="true"/>
        </w:rPr>
        <w:t xml:space="preserve">» – </w:t>
      </w:r>
      <w:r>
        <w:rPr>
          <w:rFonts w:cs="DejaVu Sans"/>
          <w:shd w:fill="auto" w:val="clear"/>
          <w:rtl w:val="true"/>
        </w:rPr>
        <w:t>که مدام در کار نادیده گرفتن حصرها و تحدید‌ها بوده‌ایم</w:t>
      </w:r>
      <w:r>
        <w:rPr>
          <w:rFonts w:cs="DejaVu Sans"/>
          <w:shd w:fill="auto" w:val="clear"/>
          <w:rtl w:val="true"/>
        </w:rPr>
        <w:t xml:space="preserve">: </w:t>
      </w:r>
      <w:r>
        <w:rPr>
          <w:rFonts w:cs="DejaVu Sans"/>
          <w:shd w:fill="auto" w:val="clear"/>
          <w:rtl w:val="true"/>
        </w:rPr>
        <w:t>در کار تبدیل مدام تحدید</w:t>
      </w:r>
      <w:r>
        <w:rPr>
          <w:rFonts w:cs="DejaVu Sans"/>
          <w:shd w:fill="auto" w:val="clear"/>
          <w:rtl w:val="true"/>
        </w:rPr>
        <w:t>/</w:t>
      </w:r>
      <w:r>
        <w:rPr>
          <w:rFonts w:cs="DejaVu Sans"/>
          <w:shd w:fill="auto" w:val="clear"/>
          <w:rtl w:val="true"/>
        </w:rPr>
        <w:t>تهدید به فرصت</w:t>
      </w:r>
      <w:r>
        <w:rPr>
          <w:rFonts w:cs="DejaVu Sans"/>
          <w:shd w:fill="auto" w:val="clear"/>
          <w:rtl w:val="true"/>
        </w:rPr>
        <w:t xml:space="preserve">. </w:t>
      </w:r>
      <w:r>
        <w:rPr>
          <w:rFonts w:cs="DejaVu Sans"/>
          <w:shd w:fill="auto" w:val="clear"/>
          <w:rtl w:val="true"/>
        </w:rPr>
        <w:t>کوشیده‌ایم که نادیده بگیریم که عزت‌مان خدشه‌دار نشود، که امکان ادامه دادن داشته باشیم</w:t>
      </w:r>
      <w:r>
        <w:rPr>
          <w:rFonts w:cs="DejaVu Sans"/>
          <w:shd w:fill="auto" w:val="clear"/>
          <w:rtl w:val="true"/>
        </w:rPr>
        <w:t xml:space="preserve">. </w:t>
      </w:r>
      <w:r>
        <w:rPr>
          <w:rFonts w:cs="DejaVu Sans"/>
          <w:shd w:fill="auto" w:val="clear"/>
          <w:rtl w:val="true"/>
        </w:rPr>
        <w:t>امکان سر برافراشتن و سپس جنگیدن</w:t>
      </w:r>
      <w:r>
        <w:rPr>
          <w:rFonts w:cs="DejaVu Sans"/>
          <w:shd w:fill="auto" w:val="clear"/>
          <w:rtl w:val="true"/>
        </w:rPr>
        <w:t xml:space="preserve">. </w:t>
      </w:r>
      <w:r>
        <w:rPr>
          <w:rFonts w:cs="DejaVu Sans"/>
          <w:shd w:fill="auto" w:val="clear"/>
          <w:rtl w:val="true"/>
        </w:rPr>
        <w:t>و جنگیدن همیشه یک شکل به خود نمی‌گیرد</w:t>
      </w:r>
      <w:r>
        <w:rPr>
          <w:rFonts w:cs="DejaVu Sans"/>
          <w:shd w:fill="auto" w:val="clear"/>
          <w:rtl w:val="true"/>
        </w:rPr>
        <w:t xml:space="preserve">. </w:t>
      </w:r>
      <w:r>
        <w:rPr>
          <w:rFonts w:cs="DejaVu Sans"/>
          <w:shd w:fill="auto" w:val="clear"/>
          <w:rtl w:val="true"/>
        </w:rPr>
        <w:t>اولین و آخرین شکل‌اش ریختن در خیابان و داد زدن نیست</w:t>
      </w:r>
      <w:r>
        <w:rPr>
          <w:rFonts w:cs="DejaVu Sans"/>
          <w:shd w:fill="auto" w:val="clear"/>
          <w:rtl w:val="true"/>
        </w:rPr>
        <w:t xml:space="preserve">. </w:t>
      </w:r>
      <w:r>
        <w:rPr>
          <w:rFonts w:cs="DejaVu Sans"/>
          <w:shd w:fill="auto" w:val="clear"/>
          <w:rtl w:val="true"/>
        </w:rPr>
        <w:t>نبرد بخشی از زیست زنانه‌‌ی پساانقلابی ما بوده است</w:t>
      </w:r>
      <w:r>
        <w:rPr>
          <w:rFonts w:cs="DejaVu Sans"/>
          <w:shd w:fill="auto" w:val="clear"/>
          <w:rtl w:val="true"/>
        </w:rPr>
        <w:t xml:space="preserve">. </w:t>
      </w:r>
      <w:r>
        <w:rPr>
          <w:rFonts w:cs="DejaVu Sans"/>
          <w:shd w:fill="auto" w:val="clear"/>
          <w:rtl w:val="true"/>
        </w:rPr>
        <w:t>فراتر برویم، بخشی از زیست زنانه در سراسر جهان مردسالار کنونی ماست</w:t>
      </w:r>
      <w:r>
        <w:rPr>
          <w:rFonts w:cs="DejaVu Sans"/>
          <w:shd w:fill="auto" w:val="clear"/>
          <w:rtl w:val="true"/>
        </w:rPr>
        <w:t xml:space="preserve">. </w:t>
      </w:r>
      <w:r>
        <w:rPr>
          <w:rFonts w:cs="DejaVu Sans"/>
          <w:shd w:fill="auto" w:val="clear"/>
          <w:rtl w:val="true"/>
        </w:rPr>
        <w:t xml:space="preserve">کلیشه‌ی </w:t>
      </w:r>
      <w:r>
        <w:rPr>
          <w:rFonts w:cs="DejaVu Sans"/>
          <w:shd w:fill="auto" w:val="clear"/>
          <w:rtl w:val="true"/>
        </w:rPr>
        <w:t>«</w:t>
      </w:r>
      <w:r>
        <w:rPr>
          <w:rFonts w:cs="DejaVu Sans"/>
          <w:shd w:fill="auto" w:val="clear"/>
          <w:rtl w:val="true"/>
        </w:rPr>
        <w:t>زن‌ها که نمی‌توانند ریاضی بخوانند</w:t>
      </w:r>
      <w:r>
        <w:rPr>
          <w:rFonts w:cs="DejaVu Sans"/>
          <w:shd w:fill="auto" w:val="clear"/>
          <w:rtl w:val="true"/>
        </w:rPr>
        <w:t xml:space="preserve">» </w:t>
      </w:r>
      <w:r>
        <w:rPr>
          <w:rFonts w:cs="DejaVu Sans"/>
          <w:shd w:fill="auto" w:val="clear"/>
          <w:rtl w:val="true"/>
        </w:rPr>
        <w:t>فقط یکی دو نفر را در جهان خراش نداده</w:t>
      </w:r>
      <w:r>
        <w:rPr>
          <w:rFonts w:cs="DejaVu Sans"/>
          <w:shd w:fill="auto" w:val="clear"/>
          <w:rtl w:val="true"/>
        </w:rPr>
        <w:t xml:space="preserve">. </w:t>
      </w:r>
      <w:r>
        <w:rPr>
          <w:rFonts w:cs="DejaVu Sans"/>
          <w:shd w:fill="auto" w:val="clear"/>
          <w:rtl w:val="true"/>
        </w:rPr>
        <w:t>خاص اقلیم ما هم نیست، گیریم که زن ایرانی بودن زخم‌ها را بیشتر تر و تازه‌ نگه دارد</w:t>
      </w:r>
      <w:r>
        <w:rPr>
          <w:rFonts w:cs="DejaVu Sans"/>
          <w:shd w:fill="auto" w:val="clear"/>
          <w:rtl w:val="true"/>
        </w:rPr>
        <w:t xml:space="preserve">... </w:t>
      </w:r>
    </w:p>
    <w:p>
      <w:pPr>
        <w:pStyle w:val="style0"/>
        <w:bidi/>
        <w:spacing w:line="360" w:lineRule="auto"/>
        <w:jc w:val="both"/>
      </w:pPr>
      <w:r>
        <w:rPr>
          <w:rFonts w:cs="DejaVu Sans"/>
          <w:shd w:fill="auto" w:val="clear"/>
          <w:rtl w:val="true"/>
        </w:rPr>
        <w:t>مریم میرزاخانی چشم از جهان فروبسته است</w:t>
      </w:r>
      <w:r>
        <w:rPr>
          <w:rFonts w:cs="DejaVu Sans"/>
          <w:shd w:fill="auto" w:val="clear"/>
          <w:rtl w:val="true"/>
        </w:rPr>
        <w:t xml:space="preserve">. </w:t>
      </w:r>
      <w:r>
        <w:rPr>
          <w:rFonts w:cs="DejaVu Sans"/>
          <w:shd w:fill="auto" w:val="clear"/>
          <w:rtl w:val="true"/>
        </w:rPr>
        <w:t>زن جوانی که سه سال پیش مدال چهارسالانه‌ی فیلدز را برد، درگذشته</w:t>
      </w:r>
      <w:r>
        <w:rPr>
          <w:rFonts w:cs="DejaVu Sans"/>
          <w:shd w:fill="auto" w:val="clear"/>
          <w:rtl w:val="true"/>
        </w:rPr>
        <w:t xml:space="preserve">. </w:t>
      </w:r>
      <w:r>
        <w:rPr>
          <w:rFonts w:cs="DejaVu Sans"/>
          <w:shd w:fill="auto" w:val="clear"/>
          <w:rtl w:val="true"/>
        </w:rPr>
        <w:t>دقیق‌ترش</w:t>
      </w:r>
      <w:r>
        <w:rPr>
          <w:rFonts w:cs="DejaVu Sans"/>
          <w:shd w:fill="auto" w:val="clear"/>
          <w:rtl w:val="true"/>
        </w:rPr>
        <w:t xml:space="preserve">: </w:t>
      </w:r>
      <w:r>
        <w:rPr>
          <w:rFonts w:cs="DejaVu Sans"/>
          <w:shd w:fill="auto" w:val="clear"/>
          <w:rtl w:val="true"/>
        </w:rPr>
        <w:t>تنها زنی که برترین جایزه‌ی موجود در ریاضیات را در طول قریب به هشتاد سالی که از موجودیت این مدال می‌گذرد، برده است</w:t>
      </w:r>
      <w:r>
        <w:rPr>
          <w:rFonts w:cs="DejaVu Sans"/>
          <w:shd w:fill="auto" w:val="clear"/>
          <w:rtl w:val="true"/>
        </w:rPr>
        <w:t xml:space="preserve">. </w:t>
      </w:r>
      <w:r>
        <w:rPr>
          <w:rFonts w:cs="DejaVu Sans"/>
          <w:shd w:fill="auto" w:val="clear"/>
          <w:rtl w:val="true"/>
        </w:rPr>
        <w:t>بی‌سروصدا</w:t>
      </w:r>
      <w:r>
        <w:rPr>
          <w:rFonts w:cs="DejaVu Sans"/>
          <w:shd w:fill="auto" w:val="clear"/>
          <w:rtl w:val="true"/>
        </w:rPr>
        <w:t xml:space="preserve">. </w:t>
      </w:r>
      <w:r>
        <w:rPr>
          <w:rFonts w:cs="DejaVu Sans"/>
          <w:shd w:fill="auto" w:val="clear"/>
          <w:rtl w:val="true"/>
        </w:rPr>
        <w:t>از سرطان</w:t>
      </w:r>
      <w:r>
        <w:rPr>
          <w:rFonts w:cs="DejaVu Sans"/>
          <w:shd w:fill="auto" w:val="clear"/>
          <w:rtl w:val="true"/>
        </w:rPr>
        <w:t xml:space="preserve">. </w:t>
      </w:r>
      <w:r>
        <w:rPr>
          <w:rFonts w:cs="DejaVu Sans"/>
          <w:shd w:fill="auto" w:val="clear"/>
          <w:rtl w:val="true"/>
        </w:rPr>
        <w:t>بی آن که پیش‌ترش چیزی در بوق و کرنا شده باشد</w:t>
      </w:r>
      <w:r>
        <w:rPr>
          <w:rFonts w:cs="DejaVu Sans"/>
          <w:shd w:fill="auto" w:val="clear"/>
          <w:rtl w:val="true"/>
        </w:rPr>
        <w:t xml:space="preserve">. </w:t>
      </w:r>
      <w:r>
        <w:rPr>
          <w:rFonts w:cs="DejaVu Sans"/>
          <w:shd w:fill="auto" w:val="clear"/>
          <w:rtl w:val="true"/>
        </w:rPr>
        <w:t>حالا رییس مرکز مطالعات و برنامه‌ریزی شهر تهران پیشنهاد داده خیابانی را در یادبودش نامگذاری کنند</w:t>
      </w:r>
      <w:r>
        <w:rPr>
          <w:rFonts w:cs="DejaVu Sans"/>
          <w:shd w:fill="auto" w:val="clear"/>
          <w:rtl w:val="true"/>
        </w:rPr>
        <w:t xml:space="preserve">. </w:t>
      </w:r>
      <w:r>
        <w:rPr>
          <w:rFonts w:cs="DejaVu Sans"/>
          <w:shd w:fill="auto" w:val="clear"/>
          <w:rtl w:val="true"/>
        </w:rPr>
        <w:t>از همان کارها که سنت حسنه‌ی ماست در وطن عزیز</w:t>
      </w:r>
      <w:r>
        <w:rPr>
          <w:rFonts w:cs="DejaVu Sans"/>
          <w:shd w:fill="auto" w:val="clear"/>
          <w:rtl w:val="true"/>
        </w:rPr>
        <w:t xml:space="preserve">. </w:t>
      </w:r>
      <w:r>
        <w:rPr>
          <w:rFonts w:cs="DejaVu Sans"/>
          <w:shd w:fill="auto" w:val="clear"/>
          <w:rtl w:val="true"/>
        </w:rPr>
        <w:t>به‌راحتی از خاطر می‌بریم که فرزندش هم در میان مرزهای پرگهر فرزندش نبوده است</w:t>
      </w:r>
      <w:r>
        <w:rPr>
          <w:rFonts w:cs="DejaVu Sans"/>
          <w:shd w:fill="auto" w:val="clear"/>
          <w:rtl w:val="true"/>
        </w:rPr>
        <w:t xml:space="preserve">. </w:t>
      </w:r>
      <w:r>
        <w:rPr>
          <w:rFonts w:cs="DejaVu Sans"/>
          <w:shd w:fill="auto" w:val="clear"/>
          <w:rtl w:val="true"/>
        </w:rPr>
        <w:t xml:space="preserve">از یاد می‌بریم که رسانه‌های وطنی چطور در مسیر سنجاق کردن افتخار کسب شده‌ی زن ایرانی‌الاصل به ایرانیان گوی سبقت را در تبدیل او – با همه‌ی سادگی ظاهرش </w:t>
      </w:r>
      <w:r>
        <w:rPr>
          <w:rFonts w:cs="DejaVu Sans"/>
          <w:shd w:fill="auto" w:val="clear"/>
          <w:rtl w:val="true"/>
        </w:rPr>
        <w:t xml:space="preserve">- </w:t>
      </w:r>
      <w:r>
        <w:rPr>
          <w:rFonts w:cs="DejaVu Sans"/>
          <w:shd w:fill="auto" w:val="clear"/>
          <w:rtl w:val="true"/>
        </w:rPr>
        <w:t>به زن محجب مسلمان از یکدیگر ربوده بودند</w:t>
      </w:r>
      <w:r>
        <w:rPr>
          <w:rFonts w:cs="DejaVu Sans"/>
          <w:shd w:fill="auto" w:val="clear"/>
          <w:rtl w:val="true"/>
        </w:rPr>
        <w:t xml:space="preserve">. </w:t>
      </w:r>
      <w:r>
        <w:rPr>
          <w:rFonts w:cs="DejaVu Sans"/>
          <w:shd w:fill="auto" w:val="clear"/>
          <w:rtl w:val="true"/>
        </w:rPr>
        <w:t xml:space="preserve">و اگر آن‌قدر توانا نبود که تحدید‌ها را به فرصت بدل کند و اگر به قول خودش آن‌قدر </w:t>
      </w:r>
      <w:r>
        <w:rPr>
          <w:rFonts w:cs="DejaVu Sans"/>
          <w:shd w:fill="auto" w:val="clear"/>
          <w:rtl w:val="true"/>
        </w:rPr>
        <w:t>«</w:t>
      </w:r>
      <w:r>
        <w:rPr>
          <w:rFonts w:cs="DejaVu Sans"/>
          <w:shd w:fill="auto" w:val="clear"/>
          <w:rtl w:val="true"/>
        </w:rPr>
        <w:t>خوش‌شانس</w:t>
      </w:r>
      <w:r>
        <w:rPr>
          <w:rFonts w:cs="DejaVu Sans"/>
          <w:shd w:fill="auto" w:val="clear"/>
          <w:rtl w:val="true"/>
        </w:rPr>
        <w:t xml:space="preserve">» </w:t>
      </w:r>
      <w:r>
        <w:rPr>
          <w:rFonts w:cs="DejaVu Sans"/>
          <w:shd w:fill="auto" w:val="clear"/>
          <w:rtl w:val="true"/>
        </w:rPr>
        <w:t>نبود، الان نام و یادش میان چندین و چند زن مسلمان و نامسلمان، محجب و بی‌حجاب، گم‌وگور شده بود</w:t>
      </w:r>
      <w:r>
        <w:rPr>
          <w:rFonts w:cs="DejaVu Sans"/>
          <w:shd w:fill="auto" w:val="clear"/>
          <w:rtl w:val="true"/>
        </w:rPr>
        <w:t xml:space="preserve">. </w:t>
      </w:r>
      <w:r>
        <w:rPr>
          <w:rFonts w:cs="DejaVu Sans"/>
          <w:shd w:fill="auto" w:val="clear"/>
          <w:rtl w:val="true"/>
        </w:rPr>
        <w:t xml:space="preserve">با ساختار غریبی مواجهیم که بعضی بزرگی‌ها را نمی‌تواند نادیده بگیرد و همزمان در موقعیت تناقض‌گونی گیر می‌کند که ماهیت ستمگرانه و تبعیض‌آمیزش به طرفت‌العینی </w:t>
      </w:r>
      <w:r>
        <w:rPr>
          <w:rFonts w:cs="DejaVu Sans"/>
          <w:shd w:fill="auto" w:val="clear"/>
          <w:rtl w:val="true"/>
        </w:rPr>
        <w:t>«</w:t>
      </w:r>
      <w:r>
        <w:rPr>
          <w:rFonts w:cs="DejaVu Sans"/>
          <w:shd w:fill="auto" w:val="clear"/>
          <w:rtl w:val="true"/>
        </w:rPr>
        <w:t>از پرده برون می‌افتد</w:t>
      </w:r>
      <w:r>
        <w:rPr>
          <w:rFonts w:cs="DejaVu Sans"/>
          <w:shd w:fill="auto" w:val="clear"/>
          <w:rtl w:val="true"/>
        </w:rPr>
        <w:t xml:space="preserve">». </w:t>
      </w:r>
      <w:r>
        <w:rPr>
          <w:rFonts w:cs="DejaVu Sans"/>
          <w:shd w:fill="auto" w:val="clear"/>
          <w:rtl w:val="true"/>
        </w:rPr>
        <w:t xml:space="preserve">رضا شیران </w:t>
      </w:r>
      <w:r>
        <w:rPr>
          <w:rFonts w:cs="DejaVu Sans"/>
          <w:shd w:fill="auto" w:val="clear"/>
          <w:rtl w:val="true"/>
        </w:rPr>
        <w:t xml:space="preserve">- </w:t>
      </w:r>
      <w:r>
        <w:rPr>
          <w:rFonts w:cs="DejaVu Sans"/>
          <w:shd w:fill="auto" w:val="clear"/>
          <w:rtl w:val="true"/>
        </w:rPr>
        <w:t xml:space="preserve">نماینده‌ی مشهد در مجلس – نیز از جمع‌آوری </w:t>
      </w:r>
      <w:r>
        <w:rPr>
          <w:rFonts w:cs="DejaVu Sans"/>
          <w:shd w:fill="auto" w:val="clear"/>
        </w:rPr>
        <w:t>۶۰</w:t>
      </w:r>
      <w:r>
        <w:rPr>
          <w:rFonts w:cs="DejaVu Sans"/>
          <w:shd w:fill="auto" w:val="clear"/>
          <w:rtl w:val="true"/>
        </w:rPr>
        <w:t xml:space="preserve"> امضا برای درخواست تسریع در رسیدگی به طرح </w:t>
      </w:r>
      <w:r>
        <w:rPr>
          <w:rFonts w:cs="DejaVu Sans"/>
          <w:shd w:fill="auto" w:val="clear"/>
          <w:rtl w:val="true"/>
        </w:rPr>
        <w:t>«</w:t>
      </w:r>
      <w:r>
        <w:rPr>
          <w:rFonts w:cs="DejaVu Sans"/>
          <w:shd w:fill="auto" w:val="clear"/>
          <w:rtl w:val="true"/>
        </w:rPr>
        <w:t>اصلاح قانون تابعیت</w:t>
      </w:r>
      <w:r>
        <w:rPr>
          <w:rFonts w:cs="DejaVu Sans"/>
          <w:shd w:fill="auto" w:val="clear"/>
          <w:rtl w:val="true"/>
        </w:rPr>
        <w:t xml:space="preserve">» </w:t>
      </w:r>
      <w:r>
        <w:rPr>
          <w:rFonts w:cs="DejaVu Sans"/>
          <w:shd w:fill="auto" w:val="clear"/>
          <w:rtl w:val="true"/>
        </w:rPr>
        <w:t>خبر داده به این هدف که در نوشدارویی پس از مرگ سهراب، به دختر مریم تابعیت ایرانی اعطا شود</w:t>
      </w:r>
      <w:r>
        <w:rPr>
          <w:rFonts w:cs="DejaVu Sans"/>
          <w:shd w:fill="auto" w:val="clear"/>
          <w:rtl w:val="true"/>
        </w:rPr>
        <w:t xml:space="preserve">. </w:t>
      </w:r>
      <w:r>
        <w:rPr>
          <w:rFonts w:cs="DejaVu Sans"/>
          <w:shd w:fill="auto" w:val="clear"/>
          <w:rtl w:val="true"/>
        </w:rPr>
        <w:t xml:space="preserve">لابد برای آن که رد پای معدود افتخاراتی که در کسوت </w:t>
      </w:r>
      <w:r>
        <w:rPr>
          <w:rFonts w:cs="DejaVu Sans"/>
          <w:shd w:fill="auto" w:val="clear"/>
          <w:rtl w:val="true"/>
        </w:rPr>
        <w:t>«</w:t>
      </w:r>
      <w:r>
        <w:rPr>
          <w:rFonts w:cs="DejaVu Sans"/>
          <w:shd w:fill="auto" w:val="clear"/>
          <w:rtl w:val="true"/>
        </w:rPr>
        <w:t>افتخارات ملی</w:t>
      </w:r>
      <w:r>
        <w:rPr>
          <w:rFonts w:cs="DejaVu Sans"/>
          <w:shd w:fill="auto" w:val="clear"/>
          <w:rtl w:val="true"/>
        </w:rPr>
        <w:t xml:space="preserve">» </w:t>
      </w:r>
      <w:r>
        <w:rPr>
          <w:rFonts w:cs="DejaVu Sans"/>
          <w:shd w:fill="auto" w:val="clear"/>
          <w:rtl w:val="true"/>
        </w:rPr>
        <w:t>به خودمان منتسب می‌کنیم، در مام وطن حفظ شود</w:t>
      </w:r>
      <w:r>
        <w:rPr>
          <w:rFonts w:cs="DejaVu Sans"/>
          <w:shd w:fill="auto" w:val="clear"/>
          <w:rtl w:val="true"/>
        </w:rPr>
        <w:t xml:space="preserve">. </w:t>
      </w:r>
      <w:r>
        <w:rPr>
          <w:rFonts w:cs="DejaVu Sans"/>
          <w:shd w:fill="auto" w:val="clear"/>
          <w:rtl w:val="true"/>
        </w:rPr>
        <w:t>آن هم در موقعیتی که ساختارهای حقوقی همین وطن بیش از هرچیز برای او دردسرساز بوده است</w:t>
      </w:r>
      <w:r>
        <w:rPr>
          <w:rFonts w:cs="DejaVu Sans"/>
          <w:shd w:fill="auto" w:val="clear"/>
          <w:rtl w:val="true"/>
        </w:rPr>
        <w:t xml:space="preserve">. </w:t>
      </w:r>
      <w:r>
        <w:rPr>
          <w:rFonts w:cs="DejaVu Sans"/>
          <w:shd w:fill="auto" w:val="clear"/>
          <w:rtl w:val="true"/>
        </w:rPr>
        <w:t>خوش‌ می‌دارم که حق نداشته‌ و انکارشده‌ی شهروند ایرانی در انتخاب همسر غیرمسلمان را به خودمان یادآوری کنم</w:t>
      </w:r>
      <w:r>
        <w:rPr>
          <w:rFonts w:cs="DejaVu Sans"/>
          <w:shd w:fill="auto" w:val="clear"/>
          <w:rtl w:val="true"/>
        </w:rPr>
        <w:t xml:space="preserve">. </w:t>
      </w:r>
      <w:r>
        <w:rPr>
          <w:rFonts w:cs="DejaVu Sans"/>
          <w:shd w:fill="auto" w:val="clear"/>
          <w:rtl w:val="true"/>
        </w:rPr>
        <w:t>و بیش از آن شاید، حق نداشته‌ی زن ایرانی در انتقال تابعیت به فرزند که بحث‌اش در این سال‌ها مدام جاری بوده است</w:t>
      </w:r>
      <w:r>
        <w:rPr>
          <w:rFonts w:cs="DejaVu Sans"/>
          <w:shd w:fill="auto" w:val="clear"/>
          <w:rtl w:val="true"/>
        </w:rPr>
        <w:t xml:space="preserve">. </w:t>
      </w:r>
      <w:r>
        <w:rPr>
          <w:rFonts w:cs="DejaVu Sans"/>
          <w:shd w:fill="auto" w:val="clear"/>
          <w:rtl w:val="true"/>
        </w:rPr>
        <w:t>و البته که سیاست‌ورزان عزیز وطنی درست در لحظه‌ی اهدای جایزه‌ای که اهمیت‌اش انکار را ناممکن و چه‌بسا زیان‌بار می‌کند، دیگر نمی‌توانند حضور زنی را که در چارچوب‌های استاندارد ظاهر و رفتار هنجارین این ساختار نمی‌گنجیده، نادیده بگیرند</w:t>
      </w:r>
      <w:r>
        <w:rPr>
          <w:rFonts w:cs="DejaVu Sans"/>
          <w:shd w:fill="auto" w:val="clear"/>
          <w:rtl w:val="true"/>
        </w:rPr>
        <w:t xml:space="preserve">. </w:t>
      </w:r>
      <w:r>
        <w:rPr>
          <w:rFonts w:cs="DejaVu Sans"/>
          <w:shd w:fill="auto" w:val="clear"/>
          <w:rtl w:val="true"/>
        </w:rPr>
        <w:t>برای نگارنده این صحنه خود می‌تواند دقیقه‌ای از سیاست باشد</w:t>
      </w:r>
      <w:r>
        <w:rPr>
          <w:rFonts w:cs="DejaVu Sans"/>
          <w:shd w:fill="auto" w:val="clear"/>
          <w:rtl w:val="true"/>
        </w:rPr>
        <w:t xml:space="preserve">. </w:t>
      </w:r>
      <w:r>
        <w:rPr>
          <w:rFonts w:cs="DejaVu Sans"/>
          <w:shd w:fill="auto" w:val="clear"/>
          <w:rtl w:val="true"/>
        </w:rPr>
        <w:t>دقیقه‌ای شبیه آن‌چه رانسیر می‌گوید؛ که نظم طبیعی سلطه می‌شکند و بخشی از جامعه که بی‌سهم بوده، که در شمار نمی‌آمده، که زبان نداشته، چون به‌واقع وجود نداشته، امکان پیدا می‌کند که وجودش را اعلام کند</w:t>
      </w:r>
      <w:r>
        <w:rPr>
          <w:rFonts w:cs="DejaVu Sans"/>
          <w:shd w:fill="auto" w:val="clear"/>
          <w:rtl w:val="true"/>
        </w:rPr>
        <w:t xml:space="preserve">. </w:t>
      </w:r>
      <w:r>
        <w:rPr>
          <w:rFonts w:cs="DejaVu Sans"/>
          <w:shd w:fill="auto" w:val="clear"/>
          <w:rtl w:val="true"/>
        </w:rPr>
        <w:t>آن بخش بسیاری از ما هستیم</w:t>
      </w:r>
      <w:r>
        <w:rPr>
          <w:rFonts w:cs="DejaVu Sans"/>
          <w:shd w:fill="auto" w:val="clear"/>
          <w:rtl w:val="true"/>
        </w:rPr>
        <w:t xml:space="preserve">. </w:t>
      </w:r>
      <w:r>
        <w:rPr>
          <w:rFonts w:cs="DejaVu Sans"/>
          <w:shd w:fill="auto" w:val="clear"/>
          <w:rtl w:val="true"/>
        </w:rPr>
        <w:t xml:space="preserve">ما زنانی که در چارچوب هویتی این ساختار نگنجیده‌ایم و سوژگی سیاسی‌مان را باید از مجرای هویت‌زدایی از این </w:t>
      </w:r>
      <w:r>
        <w:rPr>
          <w:rFonts w:cs="DejaVu Sans"/>
          <w:shd w:fill="auto" w:val="clear"/>
          <w:rtl w:val="true"/>
        </w:rPr>
        <w:t>«</w:t>
      </w:r>
      <w:r>
        <w:rPr>
          <w:rFonts w:cs="DejaVu Sans"/>
          <w:shd w:fill="auto" w:val="clear"/>
          <w:rtl w:val="true"/>
        </w:rPr>
        <w:t>جایگاه طبیعی</w:t>
      </w:r>
      <w:r>
        <w:rPr>
          <w:rFonts w:cs="DejaVu Sans"/>
          <w:shd w:fill="auto" w:val="clear"/>
          <w:rtl w:val="true"/>
        </w:rPr>
        <w:t xml:space="preserve">» </w:t>
      </w:r>
      <w:r>
        <w:rPr>
          <w:rFonts w:cs="DejaVu Sans"/>
          <w:shd w:fill="auto" w:val="clear"/>
          <w:rtl w:val="true"/>
        </w:rPr>
        <w:t>و نشان دادن نسبت و فاصله‌مان با آن فریاد بزنیم</w:t>
      </w:r>
      <w:r>
        <w:rPr>
          <w:rFonts w:cs="DejaVu Sans"/>
          <w:shd w:fill="auto" w:val="clear"/>
          <w:rtl w:val="true"/>
        </w:rPr>
        <w:t>.</w:t>
      </w:r>
      <w:r>
        <w:rPr>
          <w:rStyle w:val="style17"/>
          <w:rFonts w:cs="DejaVu Sans"/>
          <w:shd w:fill="auto" w:val="clear"/>
          <w:rtl w:val="true"/>
        </w:rPr>
        <w:endnoteReference w:id="2"/>
      </w:r>
      <w:r>
        <w:rPr>
          <w:rFonts w:cs="DejaVu Sans"/>
          <w:shd w:fill="auto" w:val="clear"/>
          <w:rtl w:val="true"/>
        </w:rPr>
        <w:t xml:space="preserve"> </w:t>
      </w:r>
      <w:r>
        <w:rPr>
          <w:rFonts w:cs="DejaVu Sans"/>
          <w:shd w:fill="auto" w:val="clear"/>
          <w:rtl w:val="true"/>
        </w:rPr>
        <w:t xml:space="preserve">و پرسش آن که چه اندازه از این دریچه بهره جستیم؟ از روزنی که می‌توانست به امکان سیاستی برای ما تعبیر شود؟ </w:t>
      </w:r>
    </w:p>
    <w:p>
      <w:pPr>
        <w:pStyle w:val="style0"/>
        <w:bidi/>
        <w:spacing w:line="360" w:lineRule="auto"/>
        <w:jc w:val="both"/>
      </w:pPr>
      <w:r>
        <w:rPr>
          <w:rFonts w:cs="DejaVu Sans"/>
          <w:shd w:fill="auto" w:val="clear"/>
          <w:rtl w:val="true"/>
        </w:rPr>
        <w:t>و حاشا که سوگواری به همین‌جا ختم شود</w:t>
      </w:r>
      <w:r>
        <w:rPr>
          <w:rFonts w:cs="DejaVu Sans"/>
          <w:shd w:fill="auto" w:val="clear"/>
          <w:rtl w:val="true"/>
        </w:rPr>
        <w:t xml:space="preserve">! </w:t>
      </w:r>
      <w:r>
        <w:rPr>
          <w:rFonts w:cs="DejaVu Sans"/>
          <w:shd w:fill="auto" w:val="clear"/>
          <w:rtl w:val="true"/>
        </w:rPr>
        <w:t>جبهه‌ی دوم منازعه، همواره مقابله با دوستانی است که اغلب اوقات در برکه‌ی سوگواری‌های عمومی برای دانشمندی، هنرمندی، ورزشکاری یا هر بزرگ‌داشته و عزیزداشته‌ی دیگری به دنبال صید مرواریدهای برابری‌خواهی و عدالت‌طلبی هستند</w:t>
      </w:r>
      <w:r>
        <w:rPr>
          <w:rFonts w:cs="DejaVu Sans"/>
          <w:shd w:fill="auto" w:val="clear"/>
          <w:rtl w:val="true"/>
        </w:rPr>
        <w:t xml:space="preserve">. </w:t>
      </w:r>
      <w:r>
        <w:rPr>
          <w:rFonts w:cs="DejaVu Sans"/>
          <w:shd w:fill="auto" w:val="clear"/>
          <w:rtl w:val="true"/>
        </w:rPr>
        <w:t>گویی تنها لحظاتی که می‌شود به این مفاهیم پرداخت، لحظاتی است که دریای اندوه عده‌ی بزرگی موج برداشته باشد</w:t>
      </w:r>
      <w:r>
        <w:rPr>
          <w:rFonts w:cs="DejaVu Sans"/>
          <w:shd w:fill="auto" w:val="clear"/>
          <w:rtl w:val="true"/>
        </w:rPr>
        <w:t xml:space="preserve">. </w:t>
      </w:r>
      <w:r>
        <w:rPr>
          <w:rFonts w:cs="DejaVu Sans"/>
          <w:shd w:fill="auto" w:val="clear"/>
          <w:rtl w:val="true"/>
        </w:rPr>
        <w:t>گویا بادبان‌‌های قایق‌‌ ایشان را جز باد سوزو‌گداز دیگران، هیچ‌چیز به اهتزاز درنمی‌آورد</w:t>
      </w:r>
      <w:r>
        <w:rPr>
          <w:rFonts w:cs="DejaVu Sans"/>
          <w:shd w:fill="auto" w:val="clear"/>
          <w:rtl w:val="true"/>
        </w:rPr>
        <w:t xml:space="preserve">. </w:t>
      </w:r>
      <w:r>
        <w:rPr>
          <w:rFonts w:cs="DejaVu Sans"/>
          <w:shd w:fill="auto" w:val="clear"/>
          <w:rtl w:val="true"/>
        </w:rPr>
        <w:t xml:space="preserve">در همین‌جا می‌توان </w:t>
      </w:r>
      <w:r>
        <w:rPr>
          <w:rFonts w:cs="DejaVu Sans"/>
          <w:shd w:fill="auto" w:val="clear"/>
          <w:rtl w:val="true"/>
        </w:rPr>
        <w:t xml:space="preserve">- </w:t>
      </w:r>
      <w:r>
        <w:rPr>
          <w:rFonts w:cs="DejaVu Sans"/>
          <w:shd w:fill="auto" w:val="clear"/>
          <w:rtl w:val="true"/>
        </w:rPr>
        <w:t>و باید – پرسید که اساساً نسبت میان عدالت‌خواهی و سوگواری بیش و کم برای کسی چطور نسبتی است؟ چطور است که صدای عدالت‌خواهی ما نه پیش از مرگ و نه معطوف به زندگی که پس از مرگ و درست در لحظه‌ی تقسیم سهم سوگواری بلند می‌شود؟ آیا سوگواری مردم برای این یا آن شخصیت معروف در ذات خود چیزی خلاف عدالت است؟ فراتر از آن آیا اصلاً به‌میانجی میزان ناراحتی و سوگواری برای کسی می‌توان بحث عدالت و نابرابری را به میان کشید؟ به نظر این‌طور می‌رسد که میزان محبوبیت یا سرشناس بودن کسی در اجتماع وابسته به عوامل متعددی است، طوری که بازی در زمین برابری‌طلبی را از اعتبار می‌اندازد</w:t>
      </w:r>
      <w:r>
        <w:rPr>
          <w:rFonts w:cs="DejaVu Sans"/>
          <w:shd w:fill="auto" w:val="clear"/>
          <w:rtl w:val="true"/>
        </w:rPr>
        <w:t xml:space="preserve">. </w:t>
      </w:r>
      <w:r>
        <w:rPr>
          <w:rFonts w:cs="DejaVu Sans"/>
          <w:shd w:fill="auto" w:val="clear"/>
          <w:rtl w:val="true"/>
        </w:rPr>
        <w:t>این منتقدان در یک نگاه صوری و ساده‌نگرانه به برابری یادآوری می‌کنند که پدر مریم از طبقه‌ی کارگر نبوده، خودش مدرسه‌ی سمپاد می‌رفته و یکی بوده میان چندین و چندنفری که سالانه از سرطان می‌میرند</w:t>
      </w:r>
      <w:r>
        <w:rPr>
          <w:rFonts w:cs="DejaVu Sans"/>
          <w:shd w:fill="auto" w:val="clear"/>
          <w:rtl w:val="true"/>
        </w:rPr>
        <w:t xml:space="preserve">. </w:t>
      </w:r>
      <w:r>
        <w:rPr>
          <w:rFonts w:cs="DejaVu Sans"/>
          <w:shd w:fill="auto" w:val="clear"/>
          <w:rtl w:val="true"/>
        </w:rPr>
        <w:t>نه این که این‌ها گزاره‌های ناصوابی باشند</w:t>
      </w:r>
      <w:r>
        <w:rPr>
          <w:rFonts w:cs="DejaVu Sans"/>
          <w:shd w:fill="auto" w:val="clear"/>
          <w:rtl w:val="true"/>
        </w:rPr>
        <w:t xml:space="preserve">. </w:t>
      </w:r>
      <w:r>
        <w:rPr>
          <w:rFonts w:cs="DejaVu Sans"/>
          <w:shd w:fill="auto" w:val="clear"/>
          <w:rtl w:val="true"/>
        </w:rPr>
        <w:t>نه</w:t>
      </w:r>
      <w:r>
        <w:rPr>
          <w:rFonts w:cs="DejaVu Sans"/>
          <w:shd w:fill="auto" w:val="clear"/>
          <w:rtl w:val="true"/>
        </w:rPr>
        <w:t xml:space="preserve">! </w:t>
      </w:r>
      <w:r>
        <w:rPr>
          <w:rFonts w:cs="DejaVu Sans"/>
          <w:shd w:fill="auto" w:val="clear"/>
          <w:rtl w:val="true"/>
        </w:rPr>
        <w:t>این‌ها بیش از  همه گزاره‌های نابه‌جایی هستند</w:t>
      </w:r>
      <w:r>
        <w:rPr>
          <w:rFonts w:cs="DejaVu Sans"/>
          <w:shd w:fill="auto" w:val="clear"/>
          <w:rtl w:val="true"/>
        </w:rPr>
        <w:t xml:space="preserve">. </w:t>
      </w:r>
      <w:r>
        <w:rPr>
          <w:rFonts w:cs="DejaVu Sans"/>
          <w:shd w:fill="auto" w:val="clear"/>
          <w:rtl w:val="true"/>
        </w:rPr>
        <w:t>گویی مریم می‌باید پاسخگوی مهندس بودن پدرش می‌بوده و مهندس بودن پدر کسی یا حتا شانس برخورداری‌اش از مدارس سمپاد و دانشگاه شریف او را بی‌واسطه به افتخارات کنونی نایل می‌کرده</w:t>
      </w:r>
      <w:r>
        <w:rPr>
          <w:rFonts w:cs="DejaVu Sans"/>
          <w:shd w:fill="auto" w:val="clear"/>
          <w:rtl w:val="true"/>
        </w:rPr>
        <w:t xml:space="preserve">. </w:t>
      </w:r>
      <w:r>
        <w:rPr>
          <w:rFonts w:cs="DejaVu Sans"/>
          <w:shd w:fill="auto" w:val="clear"/>
          <w:rtl w:val="true"/>
        </w:rPr>
        <w:t>گویا جمعیت اندکی در ایران از والدین پزشک و مهندس و چه‌بسا وکیل و تاجر برخوردارند و اگر چنین باشد، باید به محض موفقیت در هر زمینه‌ی بی‌ربطی ابتدا در پیشگاه دادگاه این دوستان پاسخگو باشند</w:t>
      </w:r>
      <w:r>
        <w:rPr>
          <w:rFonts w:cs="DejaVu Sans"/>
          <w:shd w:fill="auto" w:val="clear"/>
          <w:rtl w:val="true"/>
        </w:rPr>
        <w:t xml:space="preserve">. </w:t>
      </w:r>
      <w:r>
        <w:rPr>
          <w:rFonts w:cs="DejaVu Sans"/>
          <w:shd w:fill="auto" w:val="clear"/>
          <w:rtl w:val="true"/>
        </w:rPr>
        <w:t>گویا انتقام تمام بی‌عدالتی موجود را باید درست همین‌جا و در همین لحظات از پیکر بی‌جان کسی یا دسته‌ی سوگواران‌ و دوستدارانش بگیریم</w:t>
      </w:r>
      <w:r>
        <w:rPr>
          <w:rFonts w:cs="DejaVu Sans"/>
          <w:shd w:fill="auto" w:val="clear"/>
          <w:rtl w:val="true"/>
        </w:rPr>
        <w:t xml:space="preserve">. </w:t>
      </w:r>
      <w:r>
        <w:rPr>
          <w:rFonts w:cs="DejaVu Sans"/>
          <w:shd w:fill="auto" w:val="clear"/>
          <w:rtl w:val="true"/>
        </w:rPr>
        <w:t>آیا حقیر نیستیم؟ آیا این واکنش‌ها بوی کین‌توزی نمی‌دهد؟ آیا آدرس اشتباه نمی‌دهیم؟ آیا این زن که خودش را از میان ساختار زن‌ستیز این جامعه برکشیده، در جایی دیگر کار کرده و به‌مدد توان و کوشش خودش چنین پویا و درخشان ظاهر شده و الهام‌بخش بسیاری زنان دیگر – چه بسا نه سمپادی و چه بسا از میان طبقات پایین‌تر – بوده است، درست همان کسی است که باید آماج حمله‌ی حق‌طلبانه و برابری‌خواهانه‌ی ما باشد؟ آیا نمی‌شود متصور بود که فرزند پدری کارمند یا کارگر بوده باشد؟ وسوسه‌ می‌شوم به تصور این موقعیت که اگر چنین می‌بود – همان‌طور که در مورد بسیاری از اهالی موفق مدارس فقید سمپاد بوده‌ است – این دسته از منتقدان با چه کارتی بازی را ادامه می‌دادند</w:t>
      </w:r>
      <w:r>
        <w:rPr>
          <w:rFonts w:cs="DejaVu Sans"/>
          <w:shd w:fill="auto" w:val="clear"/>
          <w:rtl w:val="true"/>
        </w:rPr>
        <w:t xml:space="preserve">! </w:t>
      </w:r>
      <w:r>
        <w:rPr>
          <w:rFonts w:cs="DejaVu Sans"/>
          <w:shd w:fill="auto" w:val="clear"/>
          <w:rtl w:val="true"/>
        </w:rPr>
        <w:t>و دیگر آن که آیا منزلت اجتماعی فقط در جوامعی با مناسبات ناعادلانه مثل جوامع ما معنا و مفهوم پیدا می‌کند و طرح مطالبات عدالت‌جویانه تنها از رهگذار نشان دادن بی‌تفاوتی نسبت به مرگ آدم‌های موفق میسر می‌شود؟ آیا شکلی از انتقام‌جویی در دل این نگاه پنهان نیست و این انتقام‌جویی آیا هدفی تماماً اشتباه را نشانه نرفته است؟ عده‌ای هم البته همواره نشسته‌اند به انتظار جولانگاهی که مقابل دیگرانی از همین مردم قد علم کنند و بپرسند که این عزیز از دست رفته‌ی شما برای خلق بیچاره چه کرده است</w:t>
      </w:r>
      <w:r>
        <w:rPr>
          <w:rFonts w:cs="DejaVu Sans"/>
          <w:shd w:fill="auto" w:val="clear"/>
          <w:rtl w:val="true"/>
        </w:rPr>
        <w:t xml:space="preserve">! </w:t>
      </w:r>
      <w:r>
        <w:rPr>
          <w:rFonts w:cs="DejaVu Sans"/>
          <w:shd w:fill="auto" w:val="clear"/>
          <w:rtl w:val="true"/>
        </w:rPr>
        <w:t>گویی تمام آن‌چه برای مردم و برای جهان می‌توان کرد، باید در نسبت چشم‌نواز و پررنگی با کولبران، گرسنگان و پابرهنگان باشد</w:t>
      </w:r>
      <w:r>
        <w:rPr>
          <w:rFonts w:cs="DejaVu Sans"/>
          <w:shd w:fill="auto" w:val="clear"/>
          <w:rtl w:val="true"/>
        </w:rPr>
        <w:t xml:space="preserve">. </w:t>
      </w:r>
      <w:r>
        <w:rPr>
          <w:rFonts w:cs="DejaVu Sans"/>
          <w:shd w:fill="auto" w:val="clear"/>
          <w:rtl w:val="true"/>
        </w:rPr>
        <w:t>در جهان ایشان چیزها تماماً براق و بی‌واسطه‌اند</w:t>
      </w:r>
      <w:r>
        <w:rPr>
          <w:rFonts w:cs="DejaVu Sans"/>
          <w:shd w:fill="auto" w:val="clear"/>
          <w:rtl w:val="true"/>
        </w:rPr>
        <w:t xml:space="preserve">. </w:t>
      </w:r>
      <w:r>
        <w:rPr>
          <w:rFonts w:cs="DejaVu Sans"/>
          <w:shd w:fill="auto" w:val="clear"/>
          <w:rtl w:val="true"/>
        </w:rPr>
        <w:t>باید به چشم بیننده بیایند</w:t>
      </w:r>
      <w:r>
        <w:rPr>
          <w:rFonts w:cs="DejaVu Sans"/>
          <w:shd w:fill="auto" w:val="clear"/>
          <w:rtl w:val="true"/>
        </w:rPr>
        <w:t xml:space="preserve">. </w:t>
      </w:r>
      <w:r>
        <w:rPr>
          <w:rFonts w:cs="DejaVu Sans"/>
          <w:shd w:fill="auto" w:val="clear"/>
          <w:rtl w:val="true"/>
        </w:rPr>
        <w:t>انتزاع به کار ایشان نمی‌آید</w:t>
      </w:r>
      <w:r>
        <w:rPr>
          <w:rFonts w:cs="DejaVu Sans"/>
          <w:shd w:fill="auto" w:val="clear"/>
          <w:rtl w:val="true"/>
        </w:rPr>
        <w:t xml:space="preserve">. </w:t>
      </w:r>
      <w:r>
        <w:rPr>
          <w:rFonts w:cs="DejaVu Sans"/>
          <w:shd w:fill="auto" w:val="clear"/>
          <w:rtl w:val="true"/>
        </w:rPr>
        <w:t>می‌خواهد انتزاع مفاهیمی از دل یک رویداد بیرونی باشد یا پرداختن به هرچیز انتزاعی دیگری</w:t>
      </w:r>
      <w:r>
        <w:rPr>
          <w:rFonts w:cs="DejaVu Sans"/>
          <w:shd w:fill="auto" w:val="clear"/>
          <w:rtl w:val="true"/>
        </w:rPr>
        <w:t xml:space="preserve">. </w:t>
      </w:r>
      <w:r>
        <w:rPr>
          <w:rFonts w:cs="DejaVu Sans"/>
          <w:shd w:fill="auto" w:val="clear"/>
          <w:rtl w:val="true"/>
        </w:rPr>
        <w:t>در جهان این هموطنان ما نه کسی حق ریاضی‌دان بودن دارد نه حق فیزیکدان بودن</w:t>
      </w:r>
      <w:r>
        <w:rPr>
          <w:rFonts w:cs="DejaVu Sans"/>
          <w:shd w:fill="auto" w:val="clear"/>
          <w:rtl w:val="true"/>
        </w:rPr>
        <w:t xml:space="preserve">. </w:t>
      </w:r>
      <w:r>
        <w:rPr>
          <w:rFonts w:cs="DejaVu Sans"/>
          <w:shd w:fill="auto" w:val="clear"/>
          <w:rtl w:val="true"/>
        </w:rPr>
        <w:t>پرداختن به علوم محض از قرار به دلیل عدم مداخله‌ی بی‌واسطه در سیاست و اجتماع تماماً بی‌مورد است</w:t>
      </w:r>
      <w:r>
        <w:rPr>
          <w:rFonts w:cs="DejaVu Sans"/>
          <w:shd w:fill="auto" w:val="clear"/>
          <w:rtl w:val="true"/>
        </w:rPr>
        <w:t xml:space="preserve">. </w:t>
      </w:r>
      <w:r>
        <w:rPr>
          <w:rFonts w:cs="DejaVu Sans"/>
          <w:shd w:fill="auto" w:val="clear"/>
          <w:rtl w:val="true"/>
        </w:rPr>
        <w:t>البته اگر کسی به علوم کاربردی بپردازد نیز، باید سریعاً در برابر اتهام خدمتگزاری به نهادها و بنگاه‌های اقتصادی</w:t>
      </w:r>
      <w:r>
        <w:rPr>
          <w:rFonts w:cs="DejaVu Sans"/>
          <w:shd w:fill="auto" w:val="clear"/>
          <w:rtl w:val="true"/>
        </w:rPr>
        <w:t>-</w:t>
      </w:r>
      <w:r>
        <w:rPr>
          <w:rFonts w:cs="DejaVu Sans"/>
          <w:shd w:fill="auto" w:val="clear"/>
          <w:rtl w:val="true"/>
        </w:rPr>
        <w:t>تجاری از خودش دفاع کند</w:t>
      </w:r>
      <w:r>
        <w:rPr>
          <w:rFonts w:cs="DejaVu Sans"/>
          <w:shd w:fill="auto" w:val="clear"/>
          <w:rtl w:val="true"/>
        </w:rPr>
        <w:t xml:space="preserve">. </w:t>
      </w:r>
      <w:r>
        <w:rPr>
          <w:rFonts w:cs="DejaVu Sans"/>
          <w:shd w:fill="auto" w:val="clear"/>
          <w:rtl w:val="true"/>
        </w:rPr>
        <w:t>چیزها در چشم این منتقدان تاخیر و تعجیل برنمی‌تابد</w:t>
      </w:r>
      <w:r>
        <w:rPr>
          <w:rFonts w:cs="DejaVu Sans"/>
          <w:shd w:fill="auto" w:val="clear"/>
          <w:rtl w:val="true"/>
        </w:rPr>
        <w:t xml:space="preserve">. </w:t>
      </w:r>
      <w:r>
        <w:rPr>
          <w:rFonts w:cs="DejaVu Sans"/>
          <w:shd w:fill="auto" w:val="clear"/>
          <w:rtl w:val="true"/>
        </w:rPr>
        <w:t>میانجی و واسطه نیز هم</w:t>
      </w:r>
      <w:r>
        <w:rPr>
          <w:rFonts w:cs="DejaVu Sans"/>
          <w:shd w:fill="auto" w:val="clear"/>
          <w:rtl w:val="true"/>
        </w:rPr>
        <w:t xml:space="preserve">. </w:t>
      </w:r>
      <w:r>
        <w:rPr>
          <w:rFonts w:cs="DejaVu Sans"/>
          <w:shd w:fill="auto" w:val="clear"/>
          <w:rtl w:val="true"/>
        </w:rPr>
        <w:t>در جهان ایشان یحتمل جز اکتیویست بودن یا که فقط به‌سان دوربین یا بلندگو نقل مظالم کردن، کسی حق کار دیگری ندارد</w:t>
      </w:r>
      <w:r>
        <w:rPr>
          <w:rFonts w:cs="DejaVu Sans"/>
          <w:shd w:fill="auto" w:val="clear"/>
          <w:rtl w:val="true"/>
        </w:rPr>
        <w:t xml:space="preserve">. </w:t>
      </w:r>
      <w:r>
        <w:rPr>
          <w:rFonts w:cs="DejaVu Sans"/>
          <w:shd w:fill="auto" w:val="clear"/>
          <w:rtl w:val="true"/>
        </w:rPr>
        <w:t>جهان تنگ‌نظرانه‌ای است که رویدادها را تعبیر نمی‌کند</w:t>
      </w:r>
      <w:r>
        <w:rPr>
          <w:rFonts w:cs="DejaVu Sans"/>
          <w:shd w:fill="auto" w:val="clear"/>
          <w:rtl w:val="true"/>
        </w:rPr>
        <w:t xml:space="preserve">. </w:t>
      </w:r>
      <w:r>
        <w:rPr>
          <w:rFonts w:cs="DejaVu Sans"/>
          <w:shd w:fill="auto" w:val="clear"/>
          <w:rtl w:val="true"/>
        </w:rPr>
        <w:t>رویدادها را در سطحی‌ترین شکل‌شان و از دریچه‌ی بدفهمی دیر و دوری تنها بازنمایی می‌کند</w:t>
      </w:r>
      <w:r>
        <w:rPr>
          <w:rFonts w:cs="DejaVu Sans"/>
          <w:shd w:fill="auto" w:val="clear"/>
          <w:rtl w:val="true"/>
        </w:rPr>
        <w:t>.</w:t>
      </w:r>
    </w:p>
    <w:p>
      <w:pPr>
        <w:pStyle w:val="style0"/>
        <w:bidi/>
        <w:spacing w:line="360" w:lineRule="auto"/>
        <w:jc w:val="both"/>
      </w:pPr>
      <w:r>
        <w:rPr>
          <w:rFonts w:cs="DejaVu Sans"/>
          <w:shd w:fill="auto" w:val="clear"/>
          <w:rtl w:val="true"/>
        </w:rPr>
        <w:t>و در نهایت آن که ما این میان از هر دو سو آسیب می‌پذیریم</w:t>
      </w:r>
      <w:r>
        <w:rPr>
          <w:rFonts w:cs="DejaVu Sans"/>
          <w:shd w:fill="auto" w:val="clear"/>
          <w:rtl w:val="true"/>
        </w:rPr>
        <w:t xml:space="preserve">. </w:t>
      </w:r>
      <w:r>
        <w:rPr>
          <w:rFonts w:cs="DejaVu Sans"/>
          <w:shd w:fill="auto" w:val="clear"/>
          <w:rtl w:val="true"/>
        </w:rPr>
        <w:t>چه از سوی سیاست‌ورزان مملکت که نیش رویدادها را بیرون کشیده، آدم‌ها را در چارچوب هنجارین ساختار موجود گنجانده، به‌شکلی تماماً صلح‌آمیز و بی‌خطر مصادره به مطلوب می‌کنند</w:t>
      </w:r>
      <w:r>
        <w:rPr>
          <w:rFonts w:cs="DejaVu Sans"/>
          <w:shd w:fill="auto" w:val="clear"/>
          <w:rtl w:val="true"/>
        </w:rPr>
        <w:t xml:space="preserve">: </w:t>
      </w:r>
      <w:r>
        <w:rPr>
          <w:rFonts w:cs="DejaVu Sans"/>
          <w:shd w:fill="auto" w:val="clear"/>
          <w:rtl w:val="true"/>
        </w:rPr>
        <w:t>کسانی که هر پدیده‌ی ناهم‌سطح و متمایزشونده‌ای را که ارزش‌اش انکارناپذیر باشد، هرس کرده، جایی در قفسه‌های همین سیستم موجود طبقه‌بندی می‌کنند</w:t>
      </w:r>
      <w:r>
        <w:rPr>
          <w:rFonts w:cs="DejaVu Sans"/>
          <w:shd w:fill="auto" w:val="clear"/>
          <w:rtl w:val="true"/>
        </w:rPr>
        <w:t xml:space="preserve">. </w:t>
      </w:r>
      <w:r>
        <w:rPr>
          <w:rFonts w:cs="DejaVu Sans"/>
          <w:shd w:fill="auto" w:val="clear"/>
          <w:rtl w:val="true"/>
        </w:rPr>
        <w:t>چه از سوی دوستان منتقدی که تنگ‌نظرانه و نابه‌جا شمشیر می‌کشند و دردی را نشانه می‌روند که خاص این واقعه نیست</w:t>
      </w:r>
      <w:r>
        <w:rPr>
          <w:rFonts w:cs="DejaVu Sans"/>
          <w:shd w:fill="auto" w:val="clear"/>
          <w:rtl w:val="true"/>
        </w:rPr>
        <w:t xml:space="preserve">. </w:t>
      </w:r>
      <w:r>
        <w:rPr>
          <w:rFonts w:cs="DejaVu Sans"/>
          <w:shd w:fill="auto" w:val="clear"/>
          <w:rtl w:val="true"/>
        </w:rPr>
        <w:t>کسانی که گاه به بهانه‌ی برابری‌خواهی و نقل ناعادلانگی‌ مادی‌</w:t>
      </w:r>
      <w:r>
        <w:rPr>
          <w:rFonts w:cs="DejaVu Sans"/>
          <w:shd w:fill="auto" w:val="clear"/>
          <w:rtl w:val="true"/>
        </w:rPr>
        <w:t>-‌</w:t>
      </w:r>
      <w:r>
        <w:rPr>
          <w:rFonts w:cs="DejaVu Sans"/>
          <w:shd w:fill="auto" w:val="clear"/>
          <w:rtl w:val="true"/>
        </w:rPr>
        <w:t>طبقاتی بر روی هرگونه تبعیض، ستم، نابرابری و آسیب دیگری در ساختار حقوقی</w:t>
      </w:r>
      <w:r>
        <w:rPr>
          <w:rFonts w:cs="DejaVu Sans"/>
          <w:shd w:fill="auto" w:val="clear"/>
          <w:rtl w:val="true"/>
        </w:rPr>
        <w:t>-</w:t>
      </w:r>
      <w:r>
        <w:rPr>
          <w:rFonts w:cs="DejaVu Sans"/>
          <w:shd w:fill="auto" w:val="clear"/>
          <w:rtl w:val="true"/>
        </w:rPr>
        <w:t>قانونی موجود چشم می‌پوشند</w:t>
      </w:r>
      <w:r>
        <w:rPr>
          <w:rFonts w:cs="DejaVu Sans"/>
          <w:shd w:fill="auto" w:val="clear"/>
          <w:rtl w:val="true"/>
        </w:rPr>
        <w:t xml:space="preserve">. </w:t>
      </w:r>
      <w:r>
        <w:rPr>
          <w:rFonts w:cs="DejaVu Sans"/>
          <w:shd w:fill="auto" w:val="clear"/>
          <w:rtl w:val="true"/>
        </w:rPr>
        <w:t>که با عبور دادن تمام رویدادها از فیلتر رنگی مکرری، همیشه یک چیز را طرح می‌کنند و درست از این روست که از بیان آن‌چه نابرابری و ستم ویژه‌ی یک رویداد مشخص است، بازمی‌مانند</w:t>
      </w:r>
      <w:r>
        <w:rPr>
          <w:rFonts w:cs="DejaVu Sans"/>
          <w:shd w:fill="auto" w:val="clear"/>
          <w:rtl w:val="true"/>
        </w:rPr>
        <w:t>.</w:t>
      </w:r>
    </w:p>
    <w:p>
      <w:pPr>
        <w:pStyle w:val="style0"/>
        <w:bidi/>
        <w:spacing w:line="360" w:lineRule="auto"/>
        <w:jc w:val="both"/>
      </w:pPr>
      <w:r>
        <w:rPr>
          <w:rFonts w:cs="DejaVu Sans"/>
          <w:shd w:fill="auto" w:val="clear"/>
          <w:rtl w:val="true"/>
        </w:rPr>
      </w:r>
    </w:p>
    <w:p>
      <w:pPr>
        <w:pStyle w:val="style0"/>
        <w:bidi/>
        <w:spacing w:line="360" w:lineRule="auto"/>
        <w:jc w:val="both"/>
      </w:pPr>
      <w:r>
        <w:rPr>
          <w:rFonts w:cs="DejaVu Sans"/>
          <w:shd w:fill="auto" w:val="clear"/>
          <w:rtl w:val="true"/>
        </w:rPr>
        <w:t xml:space="preserve">   </w:t>
      </w:r>
    </w:p>
    <w:p>
      <w:pPr>
        <w:pStyle w:val="style0"/>
        <w:bidi/>
        <w:spacing w:line="360" w:lineRule="auto"/>
        <w:jc w:val="both"/>
      </w:pPr>
      <w:r>
        <w:rPr>
          <w:rFonts w:cs="DejaVu Sans"/>
          <w:shd w:fill="auto" w:val="clear"/>
          <w:rtl w:val="true"/>
        </w:rPr>
      </w:r>
    </w:p>
    <w:p>
      <w:pPr>
        <w:pStyle w:val="style0"/>
        <w:bidi/>
        <w:spacing w:line="360" w:lineRule="auto"/>
        <w:jc w:val="both"/>
      </w:pPr>
      <w:r>
        <w:rPr>
          <w:rFonts w:cs="DejaVu Sans"/>
          <w:shd w:fill="auto" w:val="clear"/>
          <w:rtl w:val="true"/>
        </w:rPr>
        <w:t xml:space="preserve"> </w:t>
      </w:r>
    </w:p>
    <w:sectPr>
      <w:endnotePr>
        <w:numFmt w:val="lowerRoman"/>
      </w:endnotePr>
      <w:type w:val="nextPage"/>
      <w:pgSz w:h="15840" w:w="12240"/>
      <w:pgMar w:bottom="1134" w:footer="0" w:gutter="0" w:header="0" w:left="1134" w:right="1134" w:top="1134"/>
      <w:pgNumType w:fmt="decimal"/>
      <w:formProt w:val="false"/>
      <w:textDirection w:val="lrTb"/>
    </w:sectPr>
  </w:body>
</w:document>
</file>

<file path=word/endnotes.xml><?xml version="1.0" encoding="utf-8"?>
<w:endnotes xmlns:r="http://schemas.openxmlformats.org/officeDocument/2006/relationships" xmlns:w="http://schemas.openxmlformats.org/wordprocessingml/2006/main">
  <w:endnote w:id="0" w:type="separator">
    <w:p>
      <w:r>
        <w:separator/>
      </w:r>
    </w:p>
  </w:endnote>
  <w:endnote w:id="1" w:type="continuationSeparator">
    <w:p>
      <w:r>
        <w:continuationSeparator/>
      </w:r>
    </w:p>
  </w:endnote>
  <w:endnote w:id="2">
    <w:p>
      <w:pPr>
        <w:pStyle w:val="style25"/>
      </w:pPr>
      <w:r>
        <w:rPr/>
        <w:endnoteRef/>
        <w:tab/>
        <w:t xml:space="preserve">Rancière; Jacaues: </w:t>
      </w:r>
      <w:r>
        <w:rPr>
          <w:i/>
          <w:iCs/>
        </w:rPr>
        <w:t>Das Unvernehmen</w:t>
      </w:r>
      <w:r>
        <w:rPr/>
        <w:t>. Frankfurt am Main: Suhrkamp  2002, 47-48.</w:t>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settings.xml><?xml version="1.0" encoding="utf-8"?>
<w:settings xmlns:w="http://schemas.openxmlformats.org/wordprocessingml/2006/main">
  <w:endnotePr>
    <w:numFmt w:val="lowerRoman"/>
    <w:endnote w:id="0"/>
    <w:endnote w:id="1"/>
  </w:endnotePr>
</w:setting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kinsoku w:val="true"/>
      <w:overflowPunct w:val="true"/>
      <w:autoSpaceDE w:val="true"/>
    </w:pPr>
    <w:rPr>
      <w:rFonts w:ascii="Liberation Serif" w:cs="Lohit Hindi" w:eastAsia="WenQuanYi Micro Hei" w:hAnsi="Liberation Serif"/>
      <w:color w:val="auto"/>
      <w:sz w:val="24"/>
      <w:szCs w:val="24"/>
      <w:lang w:bidi="hi-IN" w:eastAsia="zh-CN" w:val="en-US"/>
    </w:rPr>
  </w:style>
  <w:style w:styleId="style15" w:type="character">
    <w:name w:val="Bullets"/>
    <w:next w:val="style15"/>
    <w:rPr>
      <w:rFonts w:ascii="OpenSymbol" w:cs="OpenSymbol" w:eastAsia="OpenSymbol" w:hAnsi="OpenSymbol"/>
    </w:rPr>
  </w:style>
  <w:style w:styleId="style16" w:type="character">
    <w:name w:val="Endnote Characters"/>
    <w:next w:val="style16"/>
    <w:rPr/>
  </w:style>
  <w:style w:styleId="style17" w:type="character">
    <w:name w:val="Endnote anchor"/>
    <w:next w:val="style17"/>
    <w:rPr>
      <w:vertAlign w:val="superscript"/>
    </w:rPr>
  </w:style>
  <w:style w:styleId="style18" w:type="character">
    <w:name w:val="Footnote anchor"/>
    <w:next w:val="style18"/>
    <w:rPr>
      <w:vertAlign w:val="superscript"/>
    </w:rPr>
  </w:style>
  <w:style w:styleId="style19" w:type="character">
    <w:name w:val="Footnote Characters"/>
    <w:next w:val="style19"/>
    <w:rPr/>
  </w:style>
  <w:style w:styleId="style20" w:type="paragraph">
    <w:name w:val="Heading"/>
    <w:basedOn w:val="style0"/>
    <w:next w:val="style21"/>
    <w:pPr>
      <w:keepNext/>
      <w:spacing w:after="120" w:before="240"/>
    </w:pPr>
    <w:rPr>
      <w:rFonts w:ascii="Liberation Sans" w:cs="Lohit Hindi" w:eastAsia="WenQuanYi Micro Hei" w:hAnsi="Liberation Sans"/>
      <w:sz w:val="28"/>
      <w:szCs w:val="28"/>
    </w:rPr>
  </w:style>
  <w:style w:styleId="style21" w:type="paragraph">
    <w:name w:val="Text body"/>
    <w:basedOn w:val="style0"/>
    <w:next w:val="style21"/>
    <w:pPr>
      <w:spacing w:after="120" w:before="0"/>
    </w:pPr>
    <w:rPr/>
  </w:style>
  <w:style w:styleId="style22" w:type="paragraph">
    <w:name w:val="List"/>
    <w:basedOn w:val="style21"/>
    <w:next w:val="style22"/>
    <w:pPr/>
    <w:rPr>
      <w:rFonts w:cs="Lohit Hindi"/>
    </w:rPr>
  </w:style>
  <w:style w:styleId="style23" w:type="paragraph">
    <w:name w:val="Caption"/>
    <w:basedOn w:val="style0"/>
    <w:next w:val="style23"/>
    <w:pPr>
      <w:suppressLineNumbers/>
      <w:spacing w:after="120" w:before="120"/>
    </w:pPr>
    <w:rPr>
      <w:rFonts w:cs="Lohit Hindi"/>
      <w:i/>
      <w:iCs/>
      <w:sz w:val="24"/>
      <w:szCs w:val="24"/>
    </w:rPr>
  </w:style>
  <w:style w:styleId="style24" w:type="paragraph">
    <w:name w:val="Index"/>
    <w:basedOn w:val="style0"/>
    <w:next w:val="style24"/>
    <w:pPr>
      <w:suppressLineNumbers/>
    </w:pPr>
    <w:rPr>
      <w:rFonts w:cs="Lohit Hindi"/>
    </w:rPr>
  </w:style>
  <w:style w:styleId="style25" w:type="paragraph">
    <w:name w:val="Endnote"/>
    <w:basedOn w:val="style0"/>
    <w:next w:val="style25"/>
    <w:pPr>
      <w:suppressLineNumbers/>
      <w:spacing w:after="0" w:before="0"/>
      <w:ind w:hanging="339" w:left="339" w:right="0"/>
    </w:pPr>
    <w:rPr>
      <w:sz w:val="20"/>
      <w:szCs w:val="20"/>
    </w:rPr>
  </w:style>
  <w:style w:styleId="style26" w:type="paragraph">
    <w:name w:val="Header"/>
    <w:basedOn w:val="style0"/>
    <w:next w:val="style26"/>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endnotes" Target="end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11772</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2017-07-16T11:19:53.00Z</dcterms:created>
  <dcterms:modified xsi:type="dcterms:W3CDTF">2017-07-17T22:50:47.00Z</dcterms:modified>
  <cp:revision>15</cp:revision>
</cp:coreProperties>
</file>